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E05A75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5A75" w:rsidRDefault="00AC325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E05A75" w:rsidRDefault="00AC325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E05A75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</w:tr>
      <w:tr w:rsidR="00E05A75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05A7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Pr="00AC325B" w:rsidRDefault="00AC32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AC325B">
              <w:rPr>
                <w:rFonts w:ascii="Times New Roman" w:eastAsia="Times New Roman" w:hAnsi="Times New Roman" w:cs="Times New Roman"/>
                <w:sz w:val="28"/>
                <w:szCs w:val="28"/>
              </w:rPr>
              <w:t>0503160</w:t>
            </w:r>
            <w:bookmarkEnd w:id="0"/>
          </w:p>
        </w:tc>
      </w:tr>
      <w:tr w:rsidR="00E05A75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E05A75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</w:tr>
      <w:tr w:rsidR="00E05A7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</w:tr>
      <w:tr w:rsidR="00E05A7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04111386</w:t>
            </w:r>
          </w:p>
        </w:tc>
      </w:tr>
      <w:tr w:rsidR="00E05A7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</w:tr>
      <w:tr w:rsidR="00E05A7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0"/>
              </w:rPr>
            </w:pPr>
          </w:p>
        </w:tc>
      </w:tr>
      <w:tr w:rsidR="00E05A75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"СЕЛЬСКОЕ ПОСЕЛЕНИЕ ПОЛОГОЗАЙМИЩЕНСКИЙ СЕЛЬСОВЕТ АХТУБИНСКОГО МУНИЦИПАЛЬНОГО РАЙОНА АСТРАХАНСКОЙ ОБЛАСТИ"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</w:tr>
      <w:tr w:rsidR="00E05A75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</w:tr>
      <w:tr w:rsidR="00E05A75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сельских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E05A75" w:rsidRDefault="00AC325B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12605428</w:t>
            </w:r>
          </w:p>
        </w:tc>
      </w:tr>
      <w:tr w:rsidR="00E05A75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</w:tr>
      <w:tr w:rsidR="00E05A7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AC32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E05A7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</w:tr>
      <w:tr w:rsidR="00E05A75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5A75" w:rsidRDefault="00E05A75">
            <w:pPr>
              <w:rPr>
                <w:sz w:val="24"/>
              </w:rPr>
            </w:pPr>
          </w:p>
        </w:tc>
      </w:tr>
    </w:tbl>
    <w:p w:rsidR="00E05A75" w:rsidRDefault="00AC325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            Раздел 1. Организационная структура: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Органы местного самоуправления: " Администрация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области".</w:t>
      </w:r>
    </w:p>
    <w:p w:rsidR="00E05A75" w:rsidRDefault="00AC325B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Полное наименование: Администрация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области".</w:t>
      </w:r>
    </w:p>
    <w:p w:rsidR="00E05A75" w:rsidRDefault="00AC325B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Краткое наименование: Администрация 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сельсовет".</w:t>
      </w:r>
    </w:p>
    <w:p w:rsidR="00E05A75" w:rsidRDefault="00AC325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Юридический адрес: Астраханская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район, село Пологое Займище, улица Братская дом 5а.</w:t>
      </w:r>
    </w:p>
    <w:p w:rsidR="00E05A75" w:rsidRDefault="00AC325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Фактический и почтовый адрес: 416512, 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траханская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район, село Пологое Займище, улица Братская дом 5а.</w:t>
      </w:r>
    </w:p>
    <w:p w:rsidR="00E05A75" w:rsidRDefault="00AC325B">
      <w:pPr>
        <w:shd w:val="clear" w:color="auto" w:fill="FFFFFF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полнительно-распорядительный органом местного самоуправления сельского поселения, наделенный полномочиями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федеральными законами и законами Астраханской области.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Организационно-правовая форма: казенное учреждение.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состав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 входя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т: село Пологое Займище, село Солянка, хутор Громов, хутор Дубовый, хутор Клочков, хутор Рогозин. 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Административным центром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село Пологое Займище.</w:t>
      </w:r>
    </w:p>
    <w:p w:rsidR="00E05A75" w:rsidRDefault="00AC325B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бюджетного учета осуществляется на основании действующих инструкций по бюджетному учету, утвержденных приказами Министерства финансов Российской Федерации, положений СГС.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Представленные ниже показатели бухгалтерской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(финансовой) отчетности сформированы исходя из нормативных правовых актов, регулирующих ведение бухгалтерского учета и составление бухгалтерской отчетности. 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Ответственный за предоставление бухгалтерской отчетности – главный бухгалтер администрации Попова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Л.Н.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Контрольно-счетному органу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передаются полномочия контрольно-счетного органа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области", установ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ленные федеральными законами, законами Астраханской области, уставом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области", решением Совета депутатов.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  2024 году 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унитарных и казенных предприятий администрация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 не имеет. 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     Раздел 2. Результаты деятель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ности: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имеет сайт в сети Интернет </w:t>
      </w:r>
      <w:hyperlink r:id="rId5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http://adm-pologozaym</w:t>
        </w:r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ischensky.ru/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который поддерживается в актуальном состоянии,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 оперативной связи пользуется электронным почтовым ящиком  pologoezaymische@yandex.ru 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 состава средств, находящихся в ведении главного распорядителя бюджетных средств, а также адми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нистраторов финансирования дефицита бюджета, главных администраторов доходов бюджета осуществляется на основании нормативных документов: Решение Совета 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сельсовет" от 22.12.2023 № 16 "О бюджете муниципального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 на 2024 год" (в редакции от 31.07.2024 № 12, от 20.12.2024 № 7).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Бюджет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 на 2024 год сформирован на один год в программном формате по 5 программам (2 подпрограммы) на общую сумму 3077,88039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(62 %), и 4 непрограммным направлениям на сумму 1886,76098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.(38 %). 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Администрация муниципального образования "Сельское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Пологозаймищенский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Астраханской области"  оснащена компьютерной техникой 2006, 2018 годов комплектации. Учет и отчетность ведется в прогр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амме 1С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редприятие, Свод-Смарт, СКБ-Контур Экстерн. 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отчетностью учреждение провело инвентаризацию дебиторской задолженности и обязательств. По результатам инвентаризации дебиторской задолженности не выявлено. </w:t>
      </w:r>
    </w:p>
    <w:p w:rsidR="00E05A75" w:rsidRDefault="00AC325B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Плановая инвентаризация ОС, НМА, НПА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роведена на 01.12.2024 г. недостач и излишков не обнаружено.</w:t>
      </w:r>
    </w:p>
    <w:p w:rsidR="00E05A75" w:rsidRDefault="00AC325B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Проведена инвентаризация расчетов с контрагентами 31.12.2024 г. по сч.1 209 00 000 показатели отсутствуют.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На 01.01.2025 года: 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  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дебеторская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задолженность отсутствует;                                                                 - кредиторская задолженность отсутствует.</w:t>
      </w:r>
    </w:p>
    <w:p w:rsidR="00E05A75" w:rsidRDefault="00AC325B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 судебным решениям и исполнительным документам на 01.01.2025 года нет, в отчетном периоде такие обязательства не возникали.  </w:t>
      </w:r>
    </w:p>
    <w:p w:rsidR="00E05A75" w:rsidRDefault="00AC325B">
      <w:pPr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Анализ отчета об исполнении бюджета субъекта бюджетной отчетности</w:t>
      </w:r>
    </w:p>
    <w:p w:rsidR="00E05A75" w:rsidRDefault="00AC325B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невыясненные поступления отсутствуют. </w:t>
      </w:r>
    </w:p>
    <w:p w:rsidR="00E05A75" w:rsidRDefault="00AC325B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отчетный 2024 год не принимались бюджетные и денежные обязательства сверх утвержденных бюджетных назначений.</w:t>
      </w:r>
    </w:p>
    <w:p w:rsidR="00E05A75" w:rsidRDefault="00AC325B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доходной части бюджета по поступлению налоговых и неналоговых доходов составила 1766,70885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из 2192,74004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(80,57%).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Дотация на выравнивание бюджетной обеспеченности поступила в размере 1244,600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плановых 1244,600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(100 %). Дотации бюджетам сельских поселений на выравнивание бюджетной обеспеченности из бюджетов муниципальных районов  поступила в разм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 302,397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плановых 302,397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(100 %). Иные межбюджетные трансферты из бюджета муниципального района поступили в размере 87,82335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плановых 87,82335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(100 %). За 12 месяцев работы ИФНС сняла перечисленный земельны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налог в сумме 10,87564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имущественный налог с физических лиц в сумме 5,88438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НДФЛ в сумме 22,77513 тыс. рублей.  Субвенции на осуществление первичного воинского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учета  поступила в размере 137,100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плановых 137,100 тыс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рублей (100 %.) Общий процент исполнения доходной части бюджета на 01.01.2025 составил 89,92 %. Остаток денежных средств на 01.01.2025 года составил 670,99118 тыс. рублей, в том числе целевые средства - 0,00 рублей.         При плановых бюджетных расхода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в сумме 4964,64137 тыс. рублей на 01.01.2025 года исполнено 3867,619 тыс. руб. (77,9%).  Не использованным остался резервный фонд в сумме 15000,00 рублей и иным образом зарезервированные средства в сумме 1030,91402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 За 12 месяцев бюджетной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ятельности исполнение бюджета на 01.01.2025 выполнено с дефицитом в сумме 67,20480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05A75" w:rsidRDefault="00AC325B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Анализ показателей бухгалтерской отчетности субъекта бюджетной отчетности</w:t>
      </w:r>
    </w:p>
    <w:p w:rsidR="00E05A75" w:rsidRDefault="00AC325B">
      <w:pPr>
        <w:spacing w:before="240" w:after="2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01.01.2025 года: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дебеторская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задолженность отсутствует;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кредиторская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отсутствует.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Просроченная кредиторская задолженность - отсутствует. 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отчетном периоде 2024 года на баланс имущества казны был оформлен и принят на учет ранее бесхозяйный объект недвижимого имущества - здание насосной станции технического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допровода.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05A75" w:rsidRDefault="00AC325B">
      <w:pPr>
        <w:ind w:left="-900" w:right="-170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bookmarkStart w:id="1" w:name="_dx_frag_StartFragment"/>
      <w:bookmarkStart w:id="2" w:name="_dx_frag_EndFragment"/>
      <w:bookmarkEnd w:id="1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Прочие вопросы деятельности субъекта бюджетной отчетности</w:t>
      </w:r>
    </w:p>
    <w:p w:rsidR="00E05A75" w:rsidRDefault="00AC325B">
      <w:pPr>
        <w:ind w:left="-900" w:right="-170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Нулевые формы на 01.01.2025: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 0503117 G _НП Отчет об исполнении бюджета (по национальным проектам);    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0503125G_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Справка по консолидируемым расчётам;    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0503128 G 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НП Отчет о бюджетных обязательствах (по национальным проектам);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0503166G Сведения об исполнении мероприятий в рамках целевых программ;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0503167G Сведения о целевых иностранных кредитах;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0503171G Сведения о финансовых вложениях получателя бюджетн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средств, администратора источников финансирования дефицита бюджета;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0503172G Сведения о государственном (муниципальном) долге, предоставленных бюджетных кредитах;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- 0503173 G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Сведения об изменении остатков валюты баланса (бюджетная деятельность);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ф 0503174G  Сведения о доходах бюджета от перечисления части прибыли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дивидентов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государственных (муниципальных) унитарных предприятий, иных организаций с государственным участием в капитале;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- 0503178 G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Сведения об остатках денежных средств на 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 получателя бюджетных средства (бюджетная);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- 0503178 G_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Сведения об остатках денежных средств на счетах получателя бюджетных средства (средства во временном распоряжении);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 0503184 G Справка о суммах консолидируемых поступлений, подлежащих зачислени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на счет бюджета;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0503190G Сведения о вложениях в объекты недвижимого имущества, объектах незавершенного строительства;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0503191 Расшифровка  дебиторской задолженности по расчетам по выданным авансам;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0503192 Расшифровка дебиторской задолженнос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по контрактным обязательствам;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0503193 Расшифровка дебиторской задолженности по субсидиям организациям;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0503295 Сведения об исполнении судебных решений по денежным  обязательствам  учреждения;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 0503296 Сведения об исполнении судебных решений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денежным  обязательствам;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 0503324G_O Отчет об использовании межбюджетных трансфертов из областного бюджета субъектами РФ;</w:t>
      </w:r>
    </w:p>
    <w:p w:rsidR="00E05A75" w:rsidRDefault="00AC325B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-Приложение 4 Информация о текущей и просроченной задолженности по государственным (муниципальным) контрактам.</w:t>
      </w:r>
    </w:p>
    <w:p w:rsidR="00E05A75" w:rsidRDefault="00AC325B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этим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вышеуказанные формы к пояснительной записке не прилагаются.</w:t>
      </w:r>
    </w:p>
    <w:p w:rsidR="00E05A75" w:rsidRDefault="00AC325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E05A75" w:rsidRDefault="00AC325B">
      <w:r>
        <w:t> </w:t>
      </w:r>
    </w:p>
    <w:p w:rsidR="00E05A75" w:rsidRDefault="00AC325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891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3"/>
        <w:gridCol w:w="222"/>
        <w:gridCol w:w="222"/>
      </w:tblGrid>
      <w:tr w:rsidR="00E05A75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9140" w:type="dxa"/>
              <w:tblInd w:w="96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30"/>
              <w:gridCol w:w="4716"/>
              <w:gridCol w:w="2776"/>
            </w:tblGrid>
            <w:tr w:rsidR="00E05A75"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857500" cy="9525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  <w:t>Курбатов В.А.</w:t>
                  </w:r>
                </w:p>
              </w:tc>
            </w:tr>
            <w:tr w:rsidR="00E05A75">
              <w:trPr>
                <w:trHeight w:val="280"/>
              </w:trPr>
              <w:tc>
                <w:tcPr>
                  <w:tcW w:w="273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E05A75">
              <w:trPr>
                <w:trHeight w:val="281"/>
              </w:trPr>
              <w:tc>
                <w:tcPr>
                  <w:tcW w:w="0" w:type="auto"/>
                  <w:gridSpan w:val="3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05A75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Руководитель планово-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  <w:t>Попова Людмила Николаевна</w:t>
                  </w:r>
                </w:p>
              </w:tc>
            </w:tr>
            <w:tr w:rsidR="00E05A75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экономической службы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E05A75">
              <w:trPr>
                <w:trHeight w:val="281"/>
              </w:trPr>
              <w:tc>
                <w:tcPr>
                  <w:tcW w:w="0" w:type="auto"/>
                  <w:gridSpan w:val="3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</w:tr>
            <w:tr w:rsidR="00E05A75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Главный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857500" cy="9525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 2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  <w:t xml:space="preserve">Попова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  <w:t>Людмила Николаевна</w:t>
                  </w:r>
                </w:p>
              </w:tc>
            </w:tr>
            <w:tr w:rsidR="00E05A75">
              <w:trPr>
                <w:trHeight w:val="281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бухгалтер</w:t>
                  </w:r>
                </w:p>
              </w:tc>
              <w:tc>
                <w:tcPr>
                  <w:tcW w:w="20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E05A75">
              <w:trPr>
                <w:trHeight w:val="449"/>
              </w:trPr>
              <w:tc>
                <w:tcPr>
                  <w:tcW w:w="273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</w:tr>
          </w:tbl>
          <w:p w:rsidR="00E05A75" w:rsidRDefault="00E05A75">
            <w:pPr>
              <w:rPr>
                <w:vanish/>
              </w:rPr>
            </w:pPr>
          </w:p>
          <w:tbl>
            <w:tblPr>
              <w:tblW w:w="9720" w:type="dxa"/>
              <w:tblInd w:w="9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24"/>
              <w:gridCol w:w="875"/>
              <w:gridCol w:w="1132"/>
              <w:gridCol w:w="289"/>
            </w:tblGrid>
            <w:tr w:rsidR="00E05A75">
              <w:trPr>
                <w:trHeight w:val="24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AC325B">
                  <w:pPr>
                    <w:spacing w:before="240" w:beforeAutospacing="1" w:after="24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Централизованная бухгалтерия</w:t>
                  </w: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</w:t>
                  </w:r>
                </w:p>
              </w:tc>
              <w:tc>
                <w:tcPr>
                  <w:tcW w:w="10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1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E05A75">
              <w:trPr>
                <w:trHeight w:val="282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</w:tr>
            <w:tr w:rsidR="00E05A75">
              <w:trPr>
                <w:trHeight w:val="30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(наименование, местонахождение)</w:t>
                  </w:r>
                </w:p>
              </w:tc>
              <w:tc>
                <w:tcPr>
                  <w:tcW w:w="57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195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</w:tr>
            <w:tr w:rsidR="00E05A75">
              <w:trPr>
                <w:trHeight w:val="240"/>
              </w:trPr>
              <w:tc>
                <w:tcPr>
                  <w:tcW w:w="70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</w:tr>
          </w:tbl>
          <w:p w:rsidR="00E05A75" w:rsidRDefault="00AC325B">
            <w:pPr>
              <w:spacing w:before="240" w:beforeAutospacing="1" w:after="240" w:afterAutospacing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5A75" w:rsidRDefault="00AC325B">
            <w:pPr>
              <w:spacing w:before="240" w:beforeAutospacing="1" w:after="240" w:afterAutospacing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9600" w:type="dxa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5"/>
              <w:gridCol w:w="2520"/>
              <w:gridCol w:w="1980"/>
              <w:gridCol w:w="2565"/>
            </w:tblGrid>
            <w:tr w:rsidR="00E05A75">
              <w:trPr>
                <w:trHeight w:val="75"/>
                <w:tblCellSpacing w:w="15" w:type="dxa"/>
              </w:trPr>
              <w:tc>
                <w:tcPr>
                  <w:tcW w:w="24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</w:rPr>
                    <w:t>  </w:t>
                  </w:r>
                </w:p>
              </w:tc>
              <w:tc>
                <w:tcPr>
                  <w:tcW w:w="19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8"/>
                    </w:rPr>
                  </w:pPr>
                </w:p>
              </w:tc>
              <w:tc>
                <w:tcPr>
                  <w:tcW w:w="2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8"/>
                    </w:rPr>
                  </w:pPr>
                </w:p>
              </w:tc>
            </w:tr>
            <w:tr w:rsidR="00E05A75">
              <w:trPr>
                <w:trHeight w:val="195"/>
                <w:tblCellSpacing w:w="15" w:type="dxa"/>
              </w:trPr>
              <w:tc>
                <w:tcPr>
                  <w:tcW w:w="24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(уполномоченное лицо)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19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(подпись) </w:t>
                  </w:r>
                </w:p>
              </w:tc>
              <w:tc>
                <w:tcPr>
                  <w:tcW w:w="2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</w:tbl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 </w:t>
            </w:r>
          </w:p>
          <w:tbl>
            <w:tblPr>
              <w:tblW w:w="10587" w:type="dxa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3"/>
              <w:gridCol w:w="3053"/>
              <w:gridCol w:w="2258"/>
              <w:gridCol w:w="2112"/>
              <w:gridCol w:w="1951"/>
            </w:tblGrid>
            <w:tr w:rsidR="00E05A75">
              <w:trPr>
                <w:trHeight w:val="343"/>
                <w:tblCellSpacing w:w="15" w:type="dxa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ind w:left="-232" w:firstLine="232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ind w:left="-498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05A75">
              <w:trPr>
                <w:trHeight w:val="343"/>
                <w:tblCellSpacing w:w="15" w:type="dxa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ind w:left="-498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</w:rPr>
                    <w:t>Попова Людмила Николаевна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</w:tr>
            <w:tr w:rsidR="00E05A75">
              <w:trPr>
                <w:trHeight w:val="340"/>
                <w:tblCellSpacing w:w="15" w:type="dxa"/>
              </w:trPr>
              <w:tc>
                <w:tcPr>
                  <w:tcW w:w="116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E05A75">
                  <w:pPr>
                    <w:rPr>
                      <w:sz w:val="24"/>
                    </w:rPr>
                  </w:pPr>
                </w:p>
              </w:tc>
              <w:tc>
                <w:tcPr>
                  <w:tcW w:w="30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22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  <w:tc>
                <w:tcPr>
                  <w:tcW w:w="19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AC325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(телефон, e-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mail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E05A75">
              <w:trPr>
                <w:tblCellSpacing w:w="15" w:type="dxa"/>
              </w:trPr>
              <w:tc>
                <w:tcPr>
                  <w:tcW w:w="10527" w:type="dxa"/>
                  <w:gridSpan w:val="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05A75" w:rsidRDefault="00E05A75"/>
              </w:tc>
            </w:tr>
          </w:tbl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05A75" w:rsidRDefault="00AC32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A75" w:rsidRDefault="00E05A7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A75" w:rsidRDefault="00E05A75">
            <w:pPr>
              <w:rPr>
                <w:sz w:val="24"/>
              </w:rPr>
            </w:pPr>
          </w:p>
        </w:tc>
      </w:tr>
    </w:tbl>
    <w:p w:rsidR="00E05A75" w:rsidRDefault="00AC325B"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 подписан электронной подписью. Дата представления 20.01.2025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Попова Людмила Николаевна, Сертификат: 00855F5DB328220A4E238D4510FA3411EB, Действителен: с 22.12.2023 по 16.03.2025), Руководитель финансово-экономической службы(Попова Людмила Николаевна, Сертификат: 00855F5DB328220A4E238D4510FA3411EB, 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ействителен: с 22.12.2023 по 16.03.2025), Руководитель(Курбатов Вячеслав Анатольевич, Сертификат: 00939E21936DBE7FF0F6B38CA5EC070F93, Действителен: с 12.12.2023 по 06.03.2025)        </w:t>
      </w:r>
    </w:p>
    <w:sectPr w:rsidR="00E05A75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75"/>
    <w:rsid w:val="00AC325B"/>
    <w:rsid w:val="00E0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32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32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adm-pologozaymischensky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</cp:revision>
  <cp:lastPrinted>2025-02-12T11:20:00Z</cp:lastPrinted>
  <dcterms:created xsi:type="dcterms:W3CDTF">2025-02-12T11:22:00Z</dcterms:created>
  <dcterms:modified xsi:type="dcterms:W3CDTF">2025-02-12T11:22:00Z</dcterms:modified>
</cp:coreProperties>
</file>